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1571723" cy="59093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723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ind w:left="0"/>
        <w:rPr>
          <w:sz w:val="15"/>
        </w:rPr>
      </w:pPr>
    </w:p>
    <w:p>
      <w:pPr>
        <w:pStyle w:val="BodyText"/>
        <w:tabs>
          <w:tab w:pos="3431" w:val="left" w:leader="none"/>
        </w:tabs>
        <w:spacing w:before="89"/>
      </w:pPr>
      <w:r>
        <w:rPr/>
        <w:t>Date: 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89"/>
      </w:pPr>
      <w:r>
        <w:rPr/>
        <w:t>Dear Healthcare Provider: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tabs>
          <w:tab w:pos="3270" w:val="left" w:leader="none"/>
          <w:tab w:pos="9309" w:val="left" w:leader="none"/>
        </w:tabs>
        <w:spacing w:before="89"/>
        <w:ind w:right="108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(staff person name)</w:t>
      </w:r>
      <w:r>
        <w:rPr>
          <w:spacing w:val="-9"/>
        </w:rPr>
        <w:t> </w:t>
      </w:r>
      <w:r>
        <w:rPr/>
        <w:t>works</w:t>
      </w:r>
      <w:r>
        <w:rPr>
          <w:spacing w:val="-2"/>
        </w:rPr>
        <w:t> </w:t>
      </w:r>
      <w:r>
        <w:rPr/>
        <w:t>at</w:t>
      </w:r>
      <w:r>
        <w:rPr>
          <w:u w:val="single"/>
        </w:rPr>
        <w:t> </w:t>
        <w:tab/>
      </w:r>
      <w:r>
        <w:rPr>
          <w:spacing w:val="-17"/>
        </w:rPr>
        <w:t>, </w:t>
      </w:r>
      <w:r>
        <w:rPr/>
        <w:t>a congregate care facility that includes residents that are at higher risk for more severe COVID- 19 disease. COVID-19 has not yet been confirmed in this</w:t>
      </w:r>
      <w:r>
        <w:rPr>
          <w:spacing w:val="-12"/>
        </w:rPr>
        <w:t> </w:t>
      </w:r>
      <w:r>
        <w:rPr/>
        <w:t>facility.</w:t>
      </w:r>
    </w:p>
    <w:p>
      <w:pPr>
        <w:pStyle w:val="BodyText"/>
        <w:ind w:left="0"/>
      </w:pPr>
    </w:p>
    <w:p>
      <w:pPr>
        <w:pStyle w:val="BodyText"/>
        <w:ind w:right="108"/>
      </w:pPr>
      <w:r>
        <w:rPr/>
        <w:t>This person has notified the facility that they have symptoms possibly consistent with COVID- 19 illness. These symptoms may include fever, cough, myalgia or fatigue, and shortness of breath. Less common symptoms include sore throat, headache and diarrhea.</w:t>
      </w:r>
    </w:p>
    <w:p>
      <w:pPr>
        <w:pStyle w:val="BodyText"/>
        <w:ind w:left="0"/>
      </w:pPr>
    </w:p>
    <w:p>
      <w:pPr>
        <w:pStyle w:val="BodyText"/>
        <w:ind w:right="73"/>
      </w:pPr>
      <w:r>
        <w:rPr/>
        <w:t>If, in your clinical assessment, you determine this patient’s symptoms are consistent with COVID-19 like illness, please prioritize them for COVID-19 testing as we need to ensure timely identification of COVID-19 exposure in the facility.</w:t>
      </w:r>
    </w:p>
    <w:p>
      <w:pPr>
        <w:pStyle w:val="BodyText"/>
        <w:ind w:left="0"/>
      </w:pPr>
    </w:p>
    <w:p>
      <w:pPr>
        <w:pStyle w:val="BodyText"/>
        <w:spacing w:line="276" w:lineRule="exact" w:before="1"/>
      </w:pPr>
      <w:r>
        <w:rPr/>
        <w:t>To ensure timely testing, please order testing by: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504" w:hanging="360"/>
        <w:jc w:val="left"/>
        <w:rPr>
          <w:sz w:val="24"/>
        </w:rPr>
      </w:pPr>
      <w:r>
        <w:rPr>
          <w:sz w:val="24"/>
        </w:rPr>
        <w:t>Sending a specimen(s) to a reference lab that can return results within 1-3 days.</w:t>
      </w:r>
      <w:r>
        <w:rPr>
          <w:spacing w:val="26"/>
          <w:sz w:val="24"/>
        </w:rPr>
        <w:t> </w:t>
      </w:r>
      <w:r>
        <w:rPr>
          <w:sz w:val="24"/>
        </w:rPr>
        <w:t>You may want to confirm turnaround time with the lab prior to sending the</w:t>
      </w:r>
      <w:r>
        <w:rPr>
          <w:spacing w:val="-22"/>
          <w:sz w:val="24"/>
        </w:rPr>
        <w:t> </w:t>
      </w:r>
      <w:r>
        <w:rPr>
          <w:sz w:val="24"/>
        </w:rPr>
        <w:t>specimen.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265" w:hanging="360"/>
        <w:jc w:val="left"/>
        <w:rPr>
          <w:sz w:val="24"/>
        </w:rPr>
      </w:pPr>
      <w:r>
        <w:rPr>
          <w:sz w:val="24"/>
        </w:rPr>
        <w:t>If the you do not have access to a lab that can provide timely results, you may collect a nasopharyngeal specimen and send it to the Oregon State Public Health Laboratory (OSPHL), which is currently processing specimens within one to three days which</w:t>
      </w:r>
      <w:r>
        <w:rPr>
          <w:spacing w:val="-29"/>
          <w:sz w:val="24"/>
        </w:rPr>
        <w:t> </w:t>
      </w:r>
      <w:r>
        <w:rPr>
          <w:sz w:val="24"/>
        </w:rPr>
        <w:t>may be faster than some other</w:t>
      </w:r>
      <w:r>
        <w:rPr>
          <w:spacing w:val="-7"/>
          <w:sz w:val="24"/>
        </w:rPr>
        <w:t> </w:t>
      </w:r>
      <w:r>
        <w:rPr>
          <w:sz w:val="24"/>
        </w:rPr>
        <w:t>laboratories.</w:t>
      </w:r>
    </w:p>
    <w:p>
      <w:pPr>
        <w:pStyle w:val="BodyText"/>
        <w:ind w:left="0"/>
      </w:pPr>
    </w:p>
    <w:p>
      <w:pPr>
        <w:pStyle w:val="BodyText"/>
      </w:pPr>
      <w:r>
        <w:rPr/>
        <w:t>Request for approval for testing at OSPHL must be submitted using the Confidential Oregon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sz w:val="24"/>
        </w:rPr>
        <w:t>Morbidity Report at </w:t>
      </w:r>
      <w:r>
        <w:rPr>
          <w:color w:val="0000FF"/>
          <w:spacing w:val="-173"/>
          <w:sz w:val="24"/>
          <w:u w:val="single" w:color="0000FF"/>
        </w:rPr>
        <w:t>w</w:t>
      </w:r>
      <w:r>
        <w:rPr>
          <w:color w:val="0000FF"/>
          <w:spacing w:val="113"/>
          <w:sz w:val="24"/>
        </w:rPr>
        <w:t> </w:t>
      </w:r>
      <w:r>
        <w:rPr>
          <w:color w:val="0000FF"/>
          <w:sz w:val="24"/>
          <w:u w:val="single" w:color="0000FF"/>
        </w:rPr>
        <w:t>ww.healthoregon.org/howtoreport</w:t>
      </w:r>
      <w:r>
        <w:rPr>
          <w:sz w:val="24"/>
        </w:rPr>
        <w:t>. </w:t>
      </w:r>
      <w:r>
        <w:rPr>
          <w:b/>
          <w:sz w:val="24"/>
        </w:rPr>
        <w:t>The healthcare provider ordering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the test must be sure to answer “Yes” to “Does the patient work or live in a congregate setting (e.g., LTCF, correctional facility, shelter)” question on the report form.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If you choose to send the specimen to OSPHL, please follow OSPHL specimen acceptance</w:t>
      </w:r>
    </w:p>
    <w:p>
      <w:pPr>
        <w:pStyle w:val="BodyText"/>
      </w:pPr>
      <w:r>
        <w:rPr/>
        <w:t>criteria posted on the OSPHL Lab Test Menu at </w:t>
      </w:r>
      <w:r>
        <w:rPr>
          <w:color w:val="0000FF"/>
          <w:spacing w:val="-173"/>
          <w:u w:val="single" w:color="0000FF"/>
        </w:rPr>
        <w:t>w</w:t>
      </w:r>
      <w:r>
        <w:rPr>
          <w:color w:val="0000FF"/>
          <w:spacing w:val="117"/>
        </w:rPr>
        <w:t> </w:t>
      </w:r>
      <w:r>
        <w:rPr>
          <w:color w:val="0000FF"/>
          <w:u w:val="single" w:color="0000FF"/>
        </w:rPr>
        <w:t>ww.healthoregon.org/labtests</w:t>
      </w:r>
      <w:r>
        <w:rPr/>
        <w:t>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right="108"/>
      </w:pPr>
      <w:r>
        <w:rPr/>
        <w:t>If you have specific clinical questions about COVID-19, please call the clinician consultation line at 971-673-1111 and select 1 and then 3.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480" w:lineRule="auto"/>
        <w:ind w:right="5981"/>
      </w:pPr>
      <w:r>
        <w:rPr/>
        <w:drawing>
          <wp:anchor distT="0" distB="0" distL="0" distR="0" allowOverlap="1" layoutInCell="1" locked="0" behindDoc="1" simplePos="0" relativeHeight="251595776">
            <wp:simplePos x="0" y="0"/>
            <wp:positionH relativeFrom="page">
              <wp:posOffset>960119</wp:posOffset>
            </wp:positionH>
            <wp:positionV relativeFrom="paragraph">
              <wp:posOffset>523279</wp:posOffset>
            </wp:positionV>
            <wp:extent cx="1560576" cy="48767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576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Thank you for assistance. Sincerely,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134" w:val="left" w:leader="none"/>
          <w:tab w:pos="8903" w:val="left" w:leader="none"/>
        </w:tabs>
        <w:spacing w:before="186"/>
      </w:pPr>
      <w:r>
        <w:rPr/>
        <w:t>Dean Sidelinger, MD, MSEd,</w:t>
      </w:r>
      <w:r>
        <w:rPr>
          <w:spacing w:val="-12"/>
        </w:rPr>
        <w:t> </w:t>
      </w:r>
      <w:r>
        <w:rPr/>
        <w:t>FAAP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138" w:val="left" w:leader="none"/>
        </w:tabs>
      </w:pPr>
      <w:r>
        <w:rPr/>
        <w:t>State</w:t>
      </w:r>
      <w:r>
        <w:rPr>
          <w:spacing w:val="-3"/>
        </w:rPr>
        <w:t> </w:t>
      </w:r>
      <w:r>
        <w:rPr/>
        <w:t>Health Officer</w:t>
        <w:tab/>
        <w:t>(Facility Person In</w:t>
      </w:r>
      <w:r>
        <w:rPr>
          <w:spacing w:val="-4"/>
        </w:rPr>
        <w:t> </w:t>
      </w:r>
      <w:r>
        <w:rPr/>
        <w:t>Charge)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324.001862pt;margin-top:15.872745pt;width:185.65pt;height:.1pt;mso-position-horizontal-relative:page;mso-position-vertical-relative:paragraph;z-index:-251658240;mso-wrap-distance-left:0;mso-wrap-distance-right:0" coordorigin="6480,317" coordsize="3713,0" path="m6480,317l10193,317e" filled="false" stroked="true" strokeweight=".4790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5140"/>
      </w:pPr>
      <w:r>
        <w:rPr/>
        <w:t>Phone Number</w:t>
      </w:r>
    </w:p>
    <w:sectPr>
      <w:type w:val="continuous"/>
      <w:pgSz w:w="12240" w:h="15840"/>
      <w:pgMar w:top="720" w:bottom="280" w:left="13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20" w:right="265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or0193082</dc:creator>
  <dc:title>Microsoft Word - HCP Worker Letter_Approved_ADunn_4.1.2020</dc:title>
  <dcterms:created xsi:type="dcterms:W3CDTF">2020-04-02T17:08:54Z</dcterms:created>
  <dcterms:modified xsi:type="dcterms:W3CDTF">2020-04-02T17:08:54Z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2020-04-02T00:00:00Z</vt:filetime>
  </property>
</Properties>
</file>